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tbl>
      <w:tblPr/>
      <w:tblGrid>
        <w:gridCol w:w="1832"/>
        <w:gridCol w:w="5276"/>
        <w:gridCol w:w="2402"/>
      </w:tblGrid>
      <w:tr>
        <w:trPr>
          <w:trHeight w:val="737" w:hRule="auto"/>
          <w:jc w:val="left"/>
          <w:cantSplit w:val="1"/>
        </w:trPr>
        <w:tc>
          <w:tcPr>
            <w:tcW w:w="1832" w:type="dxa"/>
            <w:vMerge w:val="restart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  <w:sz w:val="22"/>
              </w:rPr>
            </w:pPr>
            <w:r>
              <w:rPr>
                <w:rFonts w:ascii="Arial" w:hAnsi="Arial" w:cs="Arial" w:eastAsia="Arial"/>
                <w:b/>
                <w:color w:val="333399"/>
                <w:spacing w:val="0"/>
                <w:position w:val="0"/>
                <w:sz w:val="22"/>
                <w:shd w:fill="auto" w:val="clear"/>
              </w:rPr>
              <w:t xml:space="preserve"> </w:t>
            </w:r>
            <w:r>
              <w:object w:dxaOrig="1396" w:dyaOrig="1296">
                <v:rect xmlns:o="urn:schemas-microsoft-com:office:office" xmlns:v="urn:schemas-microsoft-com:vml" id="rectole0000000000" style="width:69.800000pt;height:64.800000pt" o:preferrelative="t" o:ole="">
                  <o:lock v:ext="edit"/>
                  <v:imagedata xmlns:r="http://schemas.openxmlformats.org/officeDocument/2006/relationships" r:id="docRId1" o:title=""/>
                </v:rect>
      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      </w:object>
            </w:r>
          </w:p>
        </w:tc>
        <w:tc>
          <w:tcPr>
            <w:tcW w:w="7678" w:type="dxa"/>
            <w:gridSpan w:val="2"/>
            <w:tcBorders>
              <w:top w:val="single" w:color="000000" w:sz="8"/>
              <w:left w:val="single" w:color="000000" w:sz="0"/>
              <w:bottom w:val="single" w:color="000000" w:sz="0"/>
              <w:right w:val="single" w:color="000000" w:sz="8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18"/>
                <w:shd w:fill="auto" w:val="clear"/>
              </w:rPr>
              <w:t xml:space="preserve">Curso: CONTABILIDADE 2º semestre</w:t>
            </w:r>
          </w:p>
        </w:tc>
      </w:tr>
      <w:tr>
        <w:trPr>
          <w:trHeight w:val="340" w:hRule="auto"/>
          <w:jc w:val="left"/>
        </w:trPr>
        <w:tc>
          <w:tcPr>
            <w:tcW w:w="1832" w:type="dxa"/>
            <w:vMerge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7678" w:type="dxa"/>
            <w:gridSpan w:val="2"/>
            <w:tcBorders>
              <w:top w:val="single" w:color="000000" w:sz="8"/>
              <w:left w:val="single" w:color="000000" w:sz="0"/>
              <w:bottom w:val="single" w:color="000000" w:sz="8"/>
              <w:right w:val="single" w:color="000000" w:sz="8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18"/>
                <w:shd w:fill="auto" w:val="clear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18"/>
                <w:shd w:fill="auto" w:val="clear"/>
              </w:rPr>
              <w:t xml:space="preserve">Disciplina: CENÁRIO MACROECONÔMICO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18"/>
                <w:shd w:fill="auto" w:val="clear"/>
              </w:rPr>
              <w:t xml:space="preserve">Categoria: ATIVIDADE 1                                              </w:t>
            </w:r>
          </w:p>
        </w:tc>
      </w:tr>
      <w:tr>
        <w:trPr>
          <w:trHeight w:val="340" w:hRule="auto"/>
          <w:jc w:val="left"/>
          <w:cantSplit w:val="1"/>
        </w:trPr>
        <w:tc>
          <w:tcPr>
            <w:tcW w:w="7108" w:type="dxa"/>
            <w:gridSpan w:val="2"/>
            <w:tcBorders>
              <w:top w:val="single" w:color="000000" w:sz="8"/>
              <w:left w:val="single" w:color="000000" w:sz="8"/>
              <w:bottom w:val="single" w:color="000000" w:sz="0"/>
              <w:right w:val="single" w:color="000000" w:sz="8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18"/>
                <w:shd w:fill="auto" w:val="clear"/>
              </w:rPr>
              <w:t xml:space="preserve">Professor: Ivan Serra Braga</w:t>
            </w:r>
          </w:p>
        </w:tc>
        <w:tc>
          <w:tcPr>
            <w:tcW w:w="2402" w:type="dxa"/>
            <w:tcBorders>
              <w:top w:val="single" w:color="000000" w:sz="0"/>
              <w:left w:val="single" w:color="000000" w:sz="0"/>
              <w:bottom w:val="single" w:color="000000" w:sz="8"/>
              <w:right w:val="single" w:color="000000" w:sz="8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18"/>
                <w:shd w:fill="auto" w:val="clear"/>
              </w:rPr>
              <w:t xml:space="preserve">Data: 11/10/2024</w:t>
            </w:r>
          </w:p>
        </w:tc>
      </w:tr>
      <w:tr>
        <w:trPr>
          <w:trHeight w:val="485" w:hRule="auto"/>
          <w:jc w:val="left"/>
          <w:cantSplit w:val="1"/>
        </w:trPr>
        <w:tc>
          <w:tcPr>
            <w:tcW w:w="9510" w:type="dxa"/>
            <w:gridSpan w:val="3"/>
            <w:vMerge w:val="restart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  <w:r>
              <w:rPr>
                <w:rFonts w:ascii="Arial" w:hAnsi="Arial" w:cs="Arial" w:eastAsia="Arial"/>
                <w:b/>
                <w:color w:val="000000"/>
                <w:spacing w:val="0"/>
                <w:position w:val="0"/>
                <w:sz w:val="18"/>
                <w:shd w:fill="auto" w:val="clear"/>
              </w:rPr>
              <w:t xml:space="preserve">Aluno:</w:t>
            </w:r>
          </w:p>
        </w:tc>
      </w:tr>
      <w:tr>
        <w:trPr>
          <w:trHeight w:val="485" w:hRule="auto"/>
          <w:jc w:val="left"/>
        </w:trPr>
        <w:tc>
          <w:tcPr>
            <w:tcW w:w="9510" w:type="dxa"/>
            <w:gridSpan w:val="3"/>
            <w:vMerge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8" w:type="dxa"/>
              <w:right w:w="108" w:type="dxa"/>
            </w:tcMar>
            <w:vAlign w:val="center"/>
          </w:tcPr>
          <w:p>
            <w:pPr>
              <w:spacing w:before="0" w:after="200" w:line="276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QUESTÃO 1 (um ponto)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object w:dxaOrig="7107" w:dyaOrig="5122">
          <v:rect xmlns:o="urn:schemas-microsoft-com:office:office" xmlns:v="urn:schemas-microsoft-com:vml" id="rectole0000000001" style="width:355.350000pt;height:256.1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Este mapa é o mapa europeu do período do século XIV quando o continente passava por uma profunda transformação: a criação das rotas comerciais. Quais foram as mudanças históricas em marcha para que isto acontecesse?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O aquecimento comercial europeu tem sua origem  no mercado com o Oriente, sobretudo os árabes e também asiáticos, com rotas comerciais continentais e também marítimas.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Houve também algumas transformações em curso que forçaram a mudança na Ordem Econômica: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A Guerra dos Cem anos,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A Peste Negra.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A  formação dos Estados Absolutista.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QUESTÃO 2 (um ponto)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object w:dxaOrig="6641" w:dyaOrig="5264">
          <v:rect xmlns:o="urn:schemas-microsoft-com:office:office" xmlns:v="urn:schemas-microsoft-com:vml" id="rectole0000000002" style="width:332.050000pt;height:263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Como a intensa atividade comercial a partir do século XIV ajudou na formação dos Estados Nacionais Europeus?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Era necessário que a Burguesia tivesse a proteção do Estado, oferecendo vias de acesso de controle oficial, suporte militar, organização da atividade monetária, com cunhagem de moeda e feitura de Leis de proteção a propriedade privada, leis tributarias etc....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QUESTÃO 3 (um ponto)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Descreva o que foi o Primeiro Cenário Macroeconômico visto em aula.</w:t>
      </w:r>
    </w:p>
    <w:p>
      <w:pPr>
        <w:numPr>
          <w:ilvl w:val="0"/>
          <w:numId w:val="23"/>
        </w:numPr>
        <w:tabs>
          <w:tab w:val="left" w:pos="720" w:leader="none"/>
        </w:tabs>
        <w:spacing w:before="0" w:after="160" w:line="259"/>
        <w:ind w:right="0" w:left="720" w:hanging="36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Neste contexto,  um cenário se constitui por volta do século XVI</w:t>
      </w:r>
    </w:p>
    <w:p>
      <w:pPr>
        <w:numPr>
          <w:ilvl w:val="0"/>
          <w:numId w:val="23"/>
        </w:numPr>
        <w:tabs>
          <w:tab w:val="left" w:pos="720" w:leader="none"/>
        </w:tabs>
        <w:spacing w:before="0" w:after="160" w:line="259"/>
        <w:ind w:right="0" w:left="720" w:hanging="36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Sistema Bancário</w:t>
      </w:r>
    </w:p>
    <w:p>
      <w:pPr>
        <w:numPr>
          <w:ilvl w:val="0"/>
          <w:numId w:val="23"/>
        </w:numPr>
        <w:tabs>
          <w:tab w:val="left" w:pos="720" w:leader="none"/>
        </w:tabs>
        <w:spacing w:before="0" w:after="160" w:line="259"/>
        <w:ind w:right="0" w:left="720" w:hanging="36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Comercio Internacional</w:t>
      </w:r>
    </w:p>
    <w:p>
      <w:pPr>
        <w:numPr>
          <w:ilvl w:val="0"/>
          <w:numId w:val="23"/>
        </w:numPr>
        <w:tabs>
          <w:tab w:val="left" w:pos="720" w:leader="none"/>
        </w:tabs>
        <w:spacing w:before="0" w:after="160" w:line="259"/>
        <w:ind w:right="0" w:left="720" w:hanging="36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Comercio Exterior</w:t>
      </w:r>
    </w:p>
    <w:p>
      <w:pPr>
        <w:numPr>
          <w:ilvl w:val="0"/>
          <w:numId w:val="23"/>
        </w:numPr>
        <w:tabs>
          <w:tab w:val="left" w:pos="720" w:leader="none"/>
        </w:tabs>
        <w:spacing w:before="0" w:after="160" w:line="259"/>
        <w:ind w:right="0" w:left="720" w:hanging="36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Indústria incipiente</w:t>
      </w:r>
    </w:p>
    <w:p>
      <w:pPr>
        <w:numPr>
          <w:ilvl w:val="0"/>
          <w:numId w:val="23"/>
        </w:numPr>
        <w:tabs>
          <w:tab w:val="left" w:pos="720" w:leader="none"/>
        </w:tabs>
        <w:spacing w:before="0" w:after="160" w:line="259"/>
        <w:ind w:right="0" w:left="720" w:hanging="36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Trocas mercantis sistematizadas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QUESTÃO 4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O que foi o metalismo? O que os mercantilistas entendiam por riqueza?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Foi a crença de que moeda é riqueza. Os Mercantilistas entendiam que superávits em balança comercial era o caminho para se obter riqueza.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QUESTÃO 5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No tocante ao Brasil, nosso país nasceu para ser um Estado Nação ou para ser um apêndice do Mercantilismo Europeu? Faça uma breve pesquisa para saber a resposta. Compare com o mapa do país no desenho do Tratado de Tordesilhas celebrado entre Portugal e Espanha.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QUESTÃO 6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Descreva de forma resumida o que foi o Segundo Cenário Macroeconômico. </w:t>
      </w:r>
    </w:p>
    <w:p>
      <w:pPr>
        <w:numPr>
          <w:ilvl w:val="0"/>
          <w:numId w:val="25"/>
        </w:numPr>
        <w:tabs>
          <w:tab w:val="left" w:pos="720" w:leader="none"/>
        </w:tabs>
        <w:spacing w:before="0" w:after="160" w:line="259"/>
        <w:ind w:right="0" w:left="720" w:hanging="36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Segundo Cenário Macroeconômico nos séculos XVIII e XIX: </w:t>
      </w:r>
    </w:p>
    <w:p>
      <w:pPr>
        <w:numPr>
          <w:ilvl w:val="0"/>
          <w:numId w:val="25"/>
        </w:numPr>
        <w:tabs>
          <w:tab w:val="left" w:pos="720" w:leader="none"/>
        </w:tabs>
        <w:spacing w:before="0" w:after="160" w:line="259"/>
        <w:ind w:right="0" w:left="720" w:hanging="36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Padrão Energético  vapor</w:t>
      </w:r>
    </w:p>
    <w:p>
      <w:pPr>
        <w:numPr>
          <w:ilvl w:val="0"/>
          <w:numId w:val="25"/>
        </w:numPr>
        <w:tabs>
          <w:tab w:val="left" w:pos="720" w:leader="none"/>
        </w:tabs>
        <w:spacing w:before="0" w:after="160" w:line="259"/>
        <w:ind w:right="0" w:left="720" w:hanging="36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Moeda Internacional Libras </w:t>
      </w:r>
    </w:p>
    <w:p>
      <w:pPr>
        <w:numPr>
          <w:ilvl w:val="0"/>
          <w:numId w:val="25"/>
        </w:numPr>
        <w:tabs>
          <w:tab w:val="left" w:pos="720" w:leader="none"/>
        </w:tabs>
        <w:spacing w:before="0" w:after="160" w:line="259"/>
        <w:ind w:right="0" w:left="720" w:hanging="36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Império Britânico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QUESTÃO 7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“</w:t>
      </w:r>
      <w:r>
        <w:rPr>
          <w:rFonts w:ascii="Calibri" w:hAnsi="Calibri" w:cs="Calibri" w:eastAsia="Calibri"/>
          <w:i/>
          <w:color w:val="auto"/>
          <w:spacing w:val="0"/>
          <w:position w:val="0"/>
          <w:sz w:val="24"/>
          <w:shd w:fill="auto" w:val="clear"/>
        </w:rPr>
        <w:t xml:space="preserve">Perdemos o trem da História, pois que não soubemos desenvolver uma classe mercantil e burguesa brasileira para fornecer bens de consumo não duráveis nas cidades que se constituíam em volta das minas descobertas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”. O que acontecera em nossa História Nacional, durante o Ciclo do Ouro para que estas palavras em itálico soassem verídicas?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O problema do Ciclo do Ouro é que foi nele que pela primeira vez tínhamos um cenário de construção de uma Demanda Interna: formação de cidades em volta das grandes minas de ouro em Minas Gerais, sobretudo.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O problema é que era este o momento de nosso país construir um corpo de empresários capazes de produzir para engatar uma cadeia produtiva de alimentos , roupas, transportes, construção civil etc., coisa que não fizemos.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Infelizmente, faltou em nosso país cultura empreendedora bem como as Leis Filipinas impediam nosso país de desenvolver uma manufatura independente de Portugal.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QUESTÃO 8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377" w:dyaOrig="5264">
          <v:rect xmlns:o="urn:schemas-microsoft-com:office:office" xmlns:v="urn:schemas-microsoft-com:vml" id="rectole0000000003" style="width:318.850000pt;height:263.2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Descreva a realidade macroeconômica do Brasil, sobretudo no Segundo Império. Por que podemos entrever aí um atraso de 100 (cem) anos em nosso desenvolvimento econômico?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Enquanto a Europa vivia sua Segunda Revolução Industrial, nosso país ainda estava exportando commodities e se limitando a uma Industria de Bens de Consumo não duráveis o que nos condenaria a um atraso de aproximadamente 100 anos em relação aos países industrializados...só iniciaríamos a nossa II Revolucao Industrial nos anos 1930...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QUESTÃO 9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Observe o gráfico abaixo. Ele serve para mensurar numa serie histórica os números de nosso Balanço de Pagamento no período de 1891/1900. Note que a despeito do visível </w:t>
      </w: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FFFF00" w:val="clear"/>
        </w:rPr>
        <w:t xml:space="preserve">Superávit Comercial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, nossa </w:t>
      </w: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u w:val="single"/>
          <w:shd w:fill="FFFF00" w:val="clear"/>
        </w:rPr>
        <w:t xml:space="preserve">Conta de Corrente e Remessa de Lucros</w:t>
      </w:r>
      <w:r>
        <w:rPr>
          <w:rFonts w:ascii="Calibri" w:hAnsi="Calibri" w:cs="Calibri" w:eastAsia="Calibri"/>
          <w:color w:val="FF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permanecem bastante negativas. Explique isto à luz de nossa dependência externa, sobretudo da Inglaterra, o Império à época. 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673" w:dyaOrig="8483">
          <v:rect xmlns:o="urn:schemas-microsoft-com:office:office" xmlns:v="urn:schemas-microsoft-com:vml" id="rectole0000000004" style="width:383.650000pt;height:424.1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Este é o preço que pagamos por exportarmos commodites e importarmos bens manufaturados . Em uma linguagem didática, exportamos a 100 e importamos a 500...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FF0000"/>
          <w:spacing w:val="0"/>
          <w:position w:val="0"/>
          <w:sz w:val="22"/>
          <w:shd w:fill="auto" w:val="clear"/>
        </w:rPr>
        <w:t xml:space="preserve">A conta não fecha, por isso pagamos caro na conta de juros (dívida) e na conta de remessa de lucros (para o exterior).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QUESTÃO 10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Quais foram os fatores que levaram o país a se industrializar?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I Guerra Mundial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II Guerra Mundial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Crise de 1929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QUESTÃO 11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Como Getúlio Vargas deu ao Brasil um Modelo de Desenvolvimento Nacionalista?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Sim, Getúlio queria um país capaz de gerar riqueza indendente do exterior...um país com uma forte indústria de base, uma indústria energética e uma infraestrutura 100% nacionais.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  <w:t xml:space="preserve">-------------------------------------------------------------------------------------------------------------------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FF0000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finalidade de estudo do comportamento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importância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mudanças no ambiente, que justificam essa importância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satisfação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quenti quaintin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principais atitudes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personalidade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traços de personalidade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como ela influencia no comportamento das pessoas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ajuste da personalidade do funcionário com a o ajuste da organização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tomada de decisão, em que maneira nos vemos o mundo, como isso influência na maneira como vamos tomar essa decisao, todas deveriam ser tomadas baseadas em informações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racionalidade ilimitada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tomada de decisões baseadas na racionalidade ilimitada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motivação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definindo  motivação, ela é intrincica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5 - comportamento de grupos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6 - pergunta sobre equipes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aula 6 toda a 5 não precisa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grupos e equipes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cinergia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grupo é soma de esforços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grupo é sinergia pois tem multiplicação de esforços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fatores de equipes bem consedidas, quatro fatores para o sucesso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composição da equipe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como transformar indivíduos em equipe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aula 7 última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comunicação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aspectos importantes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tipos de comunicação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vantagens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desvantagens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comunicação não verbal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escuta ativa, o que significa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comunicação não violenta </w:t>
      </w:r>
    </w:p>
    <w:p>
      <w:pPr>
        <w:spacing w:before="0" w:after="160" w:line="240"/>
        <w:ind w:right="0" w:left="0" w:firstLine="0"/>
        <w:jc w:val="both"/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24"/>
          <w:shd w:fill="auto" w:val="clear"/>
        </w:rPr>
        <w:t xml:space="preserve">- 4 passos da CNV</w:t>
      </w: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num w:numId="23">
    <w:abstractNumId w:val="6"/>
  </w:num>
  <w:num w:numId="25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0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.bin" Id="docRId6" Type="http://schemas.openxmlformats.org/officeDocument/2006/relationships/oleObject" /><Relationship Target="embeddings/oleObject4.bin" Id="docRId8" Type="http://schemas.openxmlformats.org/officeDocument/2006/relationships/oleObject" /><Relationship Target="media/image0.wmf" Id="docRId1" Type="http://schemas.openxmlformats.org/officeDocument/2006/relationships/image" /><Relationship Target="styles.xml" Id="docRId11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/Relationships>
</file>